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42F2" w:rsidRPr="00497BDE" w:rsidRDefault="00E942F2" w:rsidP="00E24092">
      <w:pPr>
        <w:pStyle w:val="1"/>
        <w:jc w:val="center"/>
        <w:rPr>
          <w:rFonts w:ascii="黑体" w:eastAsia="黑体" w:hAnsi="黑体" w:hint="eastAsia"/>
          <w:sz w:val="36"/>
          <w:szCs w:val="36"/>
        </w:rPr>
      </w:pPr>
      <w:bookmarkStart w:id="0" w:name="_Toc329617913"/>
      <w:r w:rsidRPr="00497BDE">
        <w:rPr>
          <w:rFonts w:ascii="黑体" w:eastAsia="黑体" w:hAnsi="黑体" w:hint="eastAsia"/>
          <w:sz w:val="36"/>
          <w:szCs w:val="36"/>
        </w:rPr>
        <w:t>模拟不同pH猪胃液中ZnO的最大溶解度测定</w:t>
      </w:r>
      <w:bookmarkEnd w:id="0"/>
    </w:p>
    <w:p w:rsidR="00E942F2" w:rsidRDefault="00E942F2">
      <w:pPr>
        <w:spacing w:line="360" w:lineRule="auto"/>
        <w:jc w:val="center"/>
        <w:rPr>
          <w:rFonts w:ascii="宋体" w:hAnsi="宋体" w:hint="eastAsia"/>
          <w:sz w:val="24"/>
        </w:rPr>
      </w:pPr>
      <w:r w:rsidRPr="00497BDE">
        <w:rPr>
          <w:rFonts w:ascii="宋体" w:hAnsi="宋体" w:hint="eastAsia"/>
          <w:sz w:val="24"/>
        </w:rPr>
        <w:t>吕 勇</w:t>
      </w:r>
      <w:r w:rsidR="00E24092">
        <w:rPr>
          <w:rFonts w:ascii="宋体" w:hAnsi="宋体" w:hint="eastAsia"/>
          <w:sz w:val="24"/>
        </w:rPr>
        <w:t xml:space="preserve">　　翟亚峰　　罗长辉</w:t>
      </w:r>
    </w:p>
    <w:p w:rsidR="00E24092" w:rsidRPr="00E24092" w:rsidRDefault="00E24092">
      <w:pPr>
        <w:spacing w:line="360" w:lineRule="auto"/>
        <w:jc w:val="center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（广州智特奇生物科技有限公司）</w:t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pacing w:val="8"/>
          <w:szCs w:val="21"/>
        </w:rPr>
      </w:pPr>
      <w:r>
        <w:rPr>
          <w:rFonts w:ascii="宋体" w:hAnsi="宋体" w:hint="eastAsia"/>
          <w:szCs w:val="21"/>
        </w:rPr>
        <w:t>氧化锌属于两性氧化物，既可以与酸反应生成</w:t>
      </w:r>
      <w:r>
        <w:rPr>
          <w:rFonts w:ascii="宋体" w:hAnsi="宋体"/>
          <w:szCs w:val="21"/>
        </w:rPr>
        <w:t>Zn</w:t>
      </w:r>
      <w:r>
        <w:rPr>
          <w:rFonts w:ascii="宋体" w:hAnsi="宋体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>，也可与强碱发生反应生成</w:t>
      </w:r>
      <w:r>
        <w:rPr>
          <w:rFonts w:ascii="宋体" w:hAnsi="宋体"/>
          <w:spacing w:val="8"/>
          <w:szCs w:val="21"/>
        </w:rPr>
        <w:t>可溶性锌酸盐</w:t>
      </w:r>
      <w:r>
        <w:rPr>
          <w:rFonts w:ascii="宋体" w:hAnsi="宋体" w:hint="eastAsia"/>
          <w:spacing w:val="8"/>
          <w:szCs w:val="21"/>
        </w:rPr>
        <w:t>。在断奶仔猪料中添加高剂量</w:t>
      </w:r>
      <w:r>
        <w:rPr>
          <w:rFonts w:ascii="宋体" w:hAnsi="宋体" w:hint="eastAsia"/>
          <w:szCs w:val="21"/>
        </w:rPr>
        <w:t>ZnO</w:t>
      </w:r>
      <w:r>
        <w:rPr>
          <w:rFonts w:ascii="宋体" w:hAnsi="宋体" w:hint="eastAsia"/>
          <w:spacing w:val="8"/>
          <w:szCs w:val="21"/>
        </w:rPr>
        <w:t>（3000ppm），可提高仔猪的生产性能和降低腹泻率，这一理论已得到广泛认可并普遍推广。氧化锌在猪胃部易被胃液中盐酸解离成</w:t>
      </w:r>
      <w:r>
        <w:rPr>
          <w:rFonts w:ascii="宋体" w:hAnsi="宋体"/>
          <w:szCs w:val="21"/>
        </w:rPr>
        <w:t>Zn</w:t>
      </w:r>
      <w:r>
        <w:rPr>
          <w:rFonts w:ascii="宋体" w:hAnsi="宋体"/>
          <w:szCs w:val="21"/>
          <w:vertAlign w:val="superscript"/>
        </w:rPr>
        <w:t>2+</w:t>
      </w:r>
      <w:r>
        <w:rPr>
          <w:rFonts w:ascii="宋体" w:hAnsi="宋体" w:hint="eastAsia"/>
          <w:spacing w:val="8"/>
          <w:szCs w:val="21"/>
        </w:rPr>
        <w:t>，仔猪胃液pH值一般在3.5-4.5间，仔猪采食高锌日粮后，氧化锌在仔猪胃部到底有多少会被解离？目前尚未见报道。本试验目的利用采集到的成年猪胃液，研究普通氧化锌在不同pH值猪胃液中的溶解情况，了解到底有多少氧化锌能通过胃部，以分子态ZnO形式到达小肠，为包膜氧化锌的开发应用提供数据支持。</w:t>
      </w:r>
    </w:p>
    <w:p w:rsidR="00E942F2" w:rsidRDefault="00E942F2">
      <w:pPr>
        <w:spacing w:line="360" w:lineRule="auto"/>
        <w:rPr>
          <w:rFonts w:ascii="黑体" w:eastAsia="黑体" w:hAnsi="宋体" w:hint="eastAsia"/>
          <w:spacing w:val="8"/>
          <w:sz w:val="24"/>
        </w:rPr>
      </w:pPr>
      <w:r>
        <w:rPr>
          <w:rFonts w:ascii="黑体" w:eastAsia="黑体" w:hAnsi="宋体" w:hint="eastAsia"/>
          <w:spacing w:val="8"/>
          <w:sz w:val="24"/>
        </w:rPr>
        <w:t>1.试验设计与方法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1.1试验具体操作方法：</w:t>
      </w: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表1 氧化锌添加剂量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/>
      </w:tblPr>
      <w:tblGrid>
        <w:gridCol w:w="942"/>
        <w:gridCol w:w="953"/>
        <w:gridCol w:w="953"/>
        <w:gridCol w:w="953"/>
        <w:gridCol w:w="977"/>
        <w:gridCol w:w="977"/>
        <w:gridCol w:w="978"/>
        <w:gridCol w:w="887"/>
        <w:gridCol w:w="978"/>
      </w:tblGrid>
      <w:tr w:rsidR="00E942F2">
        <w:trPr>
          <w:trHeight w:val="375"/>
          <w:jc w:val="center"/>
        </w:trPr>
        <w:tc>
          <w:tcPr>
            <w:tcW w:w="942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pH</w:t>
            </w:r>
          </w:p>
        </w:tc>
        <w:tc>
          <w:tcPr>
            <w:tcW w:w="7656" w:type="dxa"/>
            <w:gridSpan w:val="8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氧化锌添加剂量（ppm）</w:t>
            </w:r>
          </w:p>
        </w:tc>
      </w:tr>
      <w:tr w:rsidR="00E942F2">
        <w:trPr>
          <w:trHeight w:val="375"/>
          <w:jc w:val="center"/>
        </w:trPr>
        <w:tc>
          <w:tcPr>
            <w:tcW w:w="94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2.5</w:t>
            </w:r>
          </w:p>
        </w:tc>
        <w:tc>
          <w:tcPr>
            <w:tcW w:w="953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953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250</w:t>
            </w:r>
          </w:p>
        </w:tc>
        <w:tc>
          <w:tcPr>
            <w:tcW w:w="953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500</w:t>
            </w:r>
          </w:p>
        </w:tc>
        <w:tc>
          <w:tcPr>
            <w:tcW w:w="977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1000</w:t>
            </w:r>
          </w:p>
        </w:tc>
        <w:tc>
          <w:tcPr>
            <w:tcW w:w="977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2000</w:t>
            </w:r>
          </w:p>
        </w:tc>
        <w:tc>
          <w:tcPr>
            <w:tcW w:w="978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3000</w:t>
            </w:r>
          </w:p>
        </w:tc>
        <w:tc>
          <w:tcPr>
            <w:tcW w:w="887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5000</w:t>
            </w:r>
          </w:p>
        </w:tc>
        <w:tc>
          <w:tcPr>
            <w:tcW w:w="978" w:type="dxa"/>
            <w:vMerge w:val="restart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7000</w:t>
            </w:r>
          </w:p>
        </w:tc>
      </w:tr>
      <w:tr w:rsidR="00E942F2">
        <w:trPr>
          <w:trHeight w:val="363"/>
          <w:jc w:val="center"/>
        </w:trPr>
        <w:tc>
          <w:tcPr>
            <w:tcW w:w="94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8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8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8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942F2">
        <w:trPr>
          <w:trHeight w:val="387"/>
          <w:jc w:val="center"/>
        </w:trPr>
        <w:tc>
          <w:tcPr>
            <w:tcW w:w="94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4.5</w:t>
            </w: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53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8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87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8" w:type="dxa"/>
            <w:vMerge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E942F2" w:rsidRDefault="00E942F2">
      <w:pPr>
        <w:spacing w:line="360" w:lineRule="auto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 w:val="18"/>
          <w:szCs w:val="18"/>
        </w:rPr>
        <w:t xml:space="preserve">  注：①氧化锌为普通饲料级，含量95%。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a、将采集到的猪胃液分成三份，分别将pH值调为2.5、3.5、4.5，在每个pH值点上量取8小份猪胃液，每份100ml，放入三角瓶中并做好标识；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b、按试验设计（见表1），称取相应剂量氧化锌，分别放入到已有猪胃液的三角瓶中；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c、将三角瓶放入到磁力搅拌器上，温度37</w:t>
      </w:r>
      <w:smartTag w:uri="urn:schemas-microsoft-com:office:smarttags" w:element="chmetcnv">
        <w:smartTagPr>
          <w:attr w:name="UnitName" w:val="℃"/>
          <w:attr w:name="SourceValue" w:val="38"/>
          <w:attr w:name="HasSpace" w:val="False"/>
          <w:attr w:name="Negative" w:val="True"/>
          <w:attr w:name="NumberType" w:val="1"/>
          <w:attr w:name="TCSC" w:val="0"/>
        </w:smartTagPr>
        <w:r>
          <w:rPr>
            <w:rFonts w:ascii="宋体" w:hAnsi="宋体" w:hint="eastAsia"/>
            <w:szCs w:val="21"/>
          </w:rPr>
          <w:t>-38℃</w:t>
        </w:r>
      </w:smartTag>
      <w:r>
        <w:rPr>
          <w:rFonts w:ascii="宋体" w:hAnsi="宋体" w:hint="eastAsia"/>
          <w:szCs w:val="21"/>
        </w:rPr>
        <w:t xml:space="preserve">，搅拌2h； 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d、取出三角瓶，将猪胃液离心，转速3000r/min，10min；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e、取出离心管中的全部上清液，定容至100ml，测定Zn</w:t>
      </w:r>
      <w:r>
        <w:rPr>
          <w:rFonts w:ascii="宋体" w:hAnsi="宋体" w:hint="eastAsia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>重量；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f、往离心管里滴加适量浓盐酸，搅拌离心沉淀物，使其中未被胃液溶解的氧化锌完全溶解，转移至容量瓶，再用超纯水清洗几次离心管，洗液也倒入至容量瓶，定容，测定Zn</w:t>
      </w:r>
      <w:r>
        <w:rPr>
          <w:rFonts w:ascii="宋体" w:hAnsi="宋体" w:hint="eastAsia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>重量；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计算公式：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上清液中Zn</w:t>
      </w:r>
      <w:r>
        <w:rPr>
          <w:rFonts w:ascii="宋体" w:hAnsi="宋体" w:hint="eastAsia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>重量（g）= 上清液Zn</w:t>
      </w:r>
      <w:r>
        <w:rPr>
          <w:rFonts w:ascii="宋体" w:hAnsi="宋体" w:hint="eastAsia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 xml:space="preserve">浓度×100ml </w:t>
      </w:r>
    </w:p>
    <w:p w:rsidR="00E942F2" w:rsidRDefault="00E942F2">
      <w:pPr>
        <w:spacing w:line="360" w:lineRule="auto"/>
        <w:ind w:firstLine="4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沉淀物中ZnO重量（g）= Zn</w:t>
      </w:r>
      <w:r>
        <w:rPr>
          <w:rFonts w:ascii="宋体" w:hAnsi="宋体" w:hint="eastAsia"/>
          <w:szCs w:val="21"/>
          <w:vertAlign w:val="superscript"/>
        </w:rPr>
        <w:t>2+</w:t>
      </w:r>
      <w:r>
        <w:rPr>
          <w:rFonts w:ascii="宋体" w:hAnsi="宋体" w:hint="eastAsia"/>
          <w:szCs w:val="21"/>
        </w:rPr>
        <w:t xml:space="preserve">浓度×100ml/0.8 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1.2 数据分析</w:t>
      </w:r>
    </w:p>
    <w:p w:rsidR="00E942F2" w:rsidRDefault="00E942F2">
      <w:pPr>
        <w:spacing w:line="360" w:lineRule="auto"/>
        <w:ind w:firstLine="43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用excel对测定结果的数据进行分析，建立氧化锌的最大溶解量的回归方程。</w:t>
      </w:r>
    </w:p>
    <w:p w:rsidR="00E942F2" w:rsidRDefault="00E942F2">
      <w:pPr>
        <w:spacing w:line="360" w:lineRule="auto"/>
        <w:rPr>
          <w:rFonts w:ascii="黑体" w:eastAsia="黑体" w:hAnsi="宋体" w:hint="eastAsia"/>
          <w:sz w:val="24"/>
        </w:rPr>
      </w:pPr>
      <w:r>
        <w:rPr>
          <w:rFonts w:ascii="黑体" w:eastAsia="黑体" w:hAnsi="宋体" w:hint="eastAsia"/>
          <w:sz w:val="24"/>
        </w:rPr>
        <w:t>2. 试验结果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2.1 当pH=2.5时，不同添加剂量氧化锌在胃液中的解离情况：</w:t>
      </w: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表2  当pH=2.5时，不同添加剂量ZnO在猪胃液中的溶解度</w:t>
      </w:r>
    </w:p>
    <w:tbl>
      <w:tblPr>
        <w:tblW w:w="9306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/>
      </w:tblPr>
      <w:tblGrid>
        <w:gridCol w:w="1158"/>
        <w:gridCol w:w="1512"/>
        <w:gridCol w:w="2160"/>
        <w:gridCol w:w="1368"/>
        <w:gridCol w:w="1980"/>
        <w:gridCol w:w="1128"/>
      </w:tblGrid>
      <w:tr w:rsidR="00E942F2">
        <w:tc>
          <w:tcPr>
            <w:tcW w:w="115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添加量（g/100ml）</w:t>
            </w:r>
          </w:p>
        </w:tc>
        <w:tc>
          <w:tcPr>
            <w:tcW w:w="1512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上清液中溶解的ZnO总量(g)</w:t>
            </w:r>
          </w:p>
        </w:tc>
        <w:tc>
          <w:tcPr>
            <w:tcW w:w="216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上清液中溶解的ZnO占添加总ZnO的比例（%）</w:t>
            </w:r>
          </w:p>
        </w:tc>
        <w:tc>
          <w:tcPr>
            <w:tcW w:w="136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</w:t>
            </w:r>
          </w:p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的重量(g)</w:t>
            </w:r>
          </w:p>
        </w:tc>
        <w:tc>
          <w:tcPr>
            <w:tcW w:w="198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沉淀物中ZnO占添加总ZnO的比例（%）</w:t>
            </w:r>
          </w:p>
        </w:tc>
        <w:tc>
          <w:tcPr>
            <w:tcW w:w="112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ZnO的回收率（%）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0.0103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103.00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0.0002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105.00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0.0250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0.0247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98.80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0.0006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2.40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101.20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0.0500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0.0487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97.40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0.0011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99.60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0.0917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91.70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0.0112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11.20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102.90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0.2000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0.1295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64.75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0.0720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36.00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100.75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0.3000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0.1320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44.00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0.1462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48.73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92.73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0.5000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0.1395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27.90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0.3625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72.50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100.40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0.7000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0.1433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20.47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0.5637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80.53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101.00</w:t>
            </w:r>
          </w:p>
        </w:tc>
      </w:tr>
    </w:tbl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图1  当pH=2.5时，不同添加剂量ZnO在猪胃液中的溶解度</w:t>
      </w:r>
    </w:p>
    <w:p w:rsidR="00E942F2" w:rsidRDefault="0099621B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4905375" cy="2762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如图1所示，当pH=2.5时，ZnO溶解度曲线的回归方程为：</w:t>
      </w:r>
    </w:p>
    <w:p w:rsidR="00E942F2" w:rsidRDefault="00E942F2">
      <w:pPr>
        <w:spacing w:line="360" w:lineRule="auto"/>
        <w:ind w:firstLineChars="800" w:firstLine="168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Y=0.0358Ln（X）+0.168，R</w:t>
      </w:r>
      <w:r>
        <w:rPr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=0.9555，（0.01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X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0.7）。</w:t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根据结果可知，随着ZnO添加量的增加，虽然ZnO溶解度有所上升，但整体溶解比例呈下降趋势。当添加量为2000ppm（</w:t>
      </w:r>
      <w:smartTag w:uri="urn:schemas-microsoft-com:office:smarttags" w:element="chmetcnv">
        <w:smartTagPr>
          <w:attr w:name="UnitName" w:val="g"/>
          <w:attr w:name="SourceValue" w:val="20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宋体" w:hAnsi="宋体" w:hint="eastAsia"/>
            <w:szCs w:val="21"/>
          </w:rPr>
          <w:t>2000g</w:t>
        </w:r>
      </w:smartTag>
      <w:r>
        <w:rPr>
          <w:rFonts w:ascii="宋体" w:hAnsi="宋体" w:hint="eastAsia"/>
          <w:szCs w:val="21"/>
        </w:rPr>
        <w:t>/100ml）时，即为ZnO溶解度的一个溶解拐点，当添加量大于2000ppm时，ZnO溶解度的增涨幅度就变小。可推断当pH=2.5时，ZnO在猪胃液中的最大溶解度范围在1200-1400ppm间。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2.2 当pH=3.5时，不同添加剂量氧化锌在胃液中的溶解情况：</w:t>
      </w: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表3  当pH=3.5时，不同添加剂量ZnO在猪胃液中的溶解度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ayout w:type="fixed"/>
        <w:tblLook w:val="0000"/>
      </w:tblPr>
      <w:tblGrid>
        <w:gridCol w:w="1158"/>
        <w:gridCol w:w="1512"/>
        <w:gridCol w:w="2160"/>
        <w:gridCol w:w="1368"/>
        <w:gridCol w:w="1980"/>
        <w:gridCol w:w="1128"/>
      </w:tblGrid>
      <w:tr w:rsidR="00E942F2">
        <w:tc>
          <w:tcPr>
            <w:tcW w:w="115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添加量（g/100ml）</w:t>
            </w:r>
          </w:p>
        </w:tc>
        <w:tc>
          <w:tcPr>
            <w:tcW w:w="1512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上清液中溶解的ZnO总量(g)</w:t>
            </w:r>
          </w:p>
        </w:tc>
        <w:tc>
          <w:tcPr>
            <w:tcW w:w="216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上清液中溶解的ZnO占添加总ZnO的比例（%）</w:t>
            </w:r>
          </w:p>
        </w:tc>
        <w:tc>
          <w:tcPr>
            <w:tcW w:w="136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</w:t>
            </w:r>
          </w:p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的重量(g)</w:t>
            </w:r>
          </w:p>
        </w:tc>
        <w:tc>
          <w:tcPr>
            <w:tcW w:w="198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沉淀物中ZnO占添加总ZnO的比例（%）</w:t>
            </w:r>
          </w:p>
        </w:tc>
        <w:tc>
          <w:tcPr>
            <w:tcW w:w="112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ZnO的回收率（%）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0.0104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104.00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0.0008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112.00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0.0250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0.0284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113.60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0.0010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117.60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0.0500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0.0501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100.20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0.0028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5.60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105.80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0.0714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71.40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0.0336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33.60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105.00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0.2000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0.0746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37.30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0.1313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65.65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102.95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0.3000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0.0849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28.30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0.2125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70.83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99.13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0.5000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0.0894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17.88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0.4275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85.50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103.38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0.7000</w:t>
            </w:r>
          </w:p>
        </w:tc>
        <w:tc>
          <w:tcPr>
            <w:tcW w:w="1512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0.0951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13.58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0.6500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92.86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106.44</w:t>
            </w:r>
          </w:p>
        </w:tc>
      </w:tr>
    </w:tbl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图2  当pH=3.5时，不同添加剂量ZnO在猪胃液中的溶解度</w:t>
      </w:r>
    </w:p>
    <w:p w:rsidR="00E942F2" w:rsidRDefault="0099621B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4695825" cy="28575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如图2所示，当pH=3.5时，ZnO溶解度曲线的回归方程为：</w:t>
      </w:r>
    </w:p>
    <w:p w:rsidR="00E942F2" w:rsidRDefault="00E942F2">
      <w:pPr>
        <w:spacing w:line="360" w:lineRule="auto"/>
        <w:ind w:firstLineChars="200" w:firstLine="420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Y=0.0201Ln（X）+0.107，R</w:t>
      </w:r>
      <w:r>
        <w:rPr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=0.9692，（0.01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X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0.7）。</w:t>
      </w:r>
    </w:p>
    <w:p w:rsidR="00E942F2" w:rsidRDefault="00E942F2" w:rsidP="00406BE3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根据结果可知，当添加量为1000ppm（</w:t>
      </w:r>
      <w:smartTag w:uri="urn:schemas-microsoft-com:office:smarttags" w:element="chmetcnv">
        <w:smartTagPr>
          <w:attr w:name="UnitName" w:val="g"/>
          <w:attr w:name="SourceValue" w:val="10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宋体" w:hAnsi="宋体" w:hint="eastAsia"/>
            <w:szCs w:val="21"/>
          </w:rPr>
          <w:t>1000g</w:t>
        </w:r>
      </w:smartTag>
      <w:r>
        <w:rPr>
          <w:rFonts w:ascii="宋体" w:hAnsi="宋体" w:hint="eastAsia"/>
          <w:szCs w:val="21"/>
        </w:rPr>
        <w:t>/100ml）时，即为ZnO溶解度的一个溶解拐点，当添加量大于1000ppm时，ZnO溶解度的增涨幅度就不大。可推断当pH=3.5时，ZnO在猪胃液中的最大溶解度范围在700-900ppm间。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</w:p>
    <w:p w:rsidR="00E942F2" w:rsidRPr="00406BE3" w:rsidRDefault="00E942F2">
      <w:pPr>
        <w:spacing w:line="360" w:lineRule="auto"/>
        <w:rPr>
          <w:rFonts w:ascii="宋体" w:hAnsi="宋体" w:hint="eastAsia"/>
          <w:szCs w:val="21"/>
        </w:rPr>
      </w:pP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2.3 当pH=4.5时，不同添加剂量氧化锌在胃液中的解离情况</w:t>
      </w:r>
    </w:p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表4当pH=4.5时，不同添加剂量ZnO在猪胃液中的溶解度</w:t>
      </w:r>
    </w:p>
    <w:tbl>
      <w:tblPr>
        <w:tblW w:w="9264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/>
      </w:tblPr>
      <w:tblGrid>
        <w:gridCol w:w="1158"/>
        <w:gridCol w:w="1470"/>
        <w:gridCol w:w="2160"/>
        <w:gridCol w:w="1368"/>
        <w:gridCol w:w="1980"/>
        <w:gridCol w:w="1128"/>
      </w:tblGrid>
      <w:tr w:rsidR="00E942F2">
        <w:tc>
          <w:tcPr>
            <w:tcW w:w="115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添加量（g/100ml）</w:t>
            </w:r>
          </w:p>
        </w:tc>
        <w:tc>
          <w:tcPr>
            <w:tcW w:w="147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上清液中溶解的ZnO总量(g)</w:t>
            </w:r>
          </w:p>
        </w:tc>
        <w:tc>
          <w:tcPr>
            <w:tcW w:w="216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上清液中溶解的ZnO占添加总ZnO的比例（%）</w:t>
            </w:r>
          </w:p>
        </w:tc>
        <w:tc>
          <w:tcPr>
            <w:tcW w:w="136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</w:t>
            </w:r>
          </w:p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的重量(g)</w:t>
            </w:r>
          </w:p>
        </w:tc>
        <w:tc>
          <w:tcPr>
            <w:tcW w:w="1980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沉淀物中ZnO占添加总ZnO的比例（%）</w:t>
            </w:r>
          </w:p>
        </w:tc>
        <w:tc>
          <w:tcPr>
            <w:tcW w:w="1128" w:type="dxa"/>
            <w:tcBorders>
              <w:bottom w:val="single" w:sz="6" w:space="0" w:color="008000"/>
            </w:tcBorders>
          </w:tcPr>
          <w:p w:rsidR="00E942F2" w:rsidRDefault="00E942F2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ZnO的回收率（%）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0.0091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91.00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0.0012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103.00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0.0250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0.0209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83.60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0.0048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19.20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102.80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0.0500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0.0264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52.80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0.0198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39.68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92.48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0.1000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0.0292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29.20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0.0652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65.20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94.40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0.2000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0.0302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15.10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0.1680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84.00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99.10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0.3000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0.0337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11.23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0.2883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96.10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107.33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0.5000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0.0407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8.14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0.4333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86.66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94.80</w:t>
            </w:r>
          </w:p>
        </w:tc>
      </w:tr>
      <w:tr w:rsidR="00E942F2">
        <w:tc>
          <w:tcPr>
            <w:tcW w:w="115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0.7000</w:t>
            </w:r>
          </w:p>
        </w:tc>
        <w:tc>
          <w:tcPr>
            <w:tcW w:w="1470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0.0448</w:t>
            </w:r>
          </w:p>
        </w:tc>
        <w:tc>
          <w:tcPr>
            <w:tcW w:w="216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6.40</w:t>
            </w:r>
          </w:p>
        </w:tc>
        <w:tc>
          <w:tcPr>
            <w:tcW w:w="1368" w:type="dxa"/>
          </w:tcPr>
          <w:p w:rsidR="00E942F2" w:rsidRDefault="00E942F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0.6235</w:t>
            </w:r>
          </w:p>
        </w:tc>
        <w:tc>
          <w:tcPr>
            <w:tcW w:w="1980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89.07</w:t>
            </w:r>
          </w:p>
        </w:tc>
        <w:tc>
          <w:tcPr>
            <w:tcW w:w="1128" w:type="dxa"/>
          </w:tcPr>
          <w:p w:rsidR="00E942F2" w:rsidRDefault="00E942F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95.47</w:t>
            </w:r>
          </w:p>
        </w:tc>
      </w:tr>
    </w:tbl>
    <w:p w:rsidR="00E942F2" w:rsidRDefault="00E942F2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图3  当pH=4.5时，不同添加剂量ZnO在猪胃液中的溶解度</w:t>
      </w:r>
    </w:p>
    <w:p w:rsidR="00E942F2" w:rsidRDefault="0099621B">
      <w:pPr>
        <w:spacing w:line="360" w:lineRule="auto"/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181600" cy="2857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如图2所示，当pH=4.5时，ZnO溶解度曲线的回归方程为：</w:t>
      </w:r>
    </w:p>
    <w:p w:rsidR="00E942F2" w:rsidRDefault="00E942F2">
      <w:pPr>
        <w:spacing w:line="360" w:lineRule="auto"/>
        <w:ind w:firstLineChars="200" w:firstLine="420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Y=0.0073Ln（X）+0.0453，R</w:t>
      </w:r>
      <w:r>
        <w:rPr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=0.9474，（0.01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X </w:t>
      </w:r>
      <w:r>
        <w:rPr>
          <w:rFonts w:ascii="宋体" w:hAnsi="宋体" w:cs="Arial"/>
          <w:szCs w:val="21"/>
        </w:rPr>
        <w:t>≤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0.7）。</w:t>
      </w:r>
    </w:p>
    <w:p w:rsidR="00E942F2" w:rsidRDefault="00E942F2">
      <w:pPr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根据结果可知，当添加量为500ppm（</w:t>
      </w:r>
      <w:smartTag w:uri="urn:schemas-microsoft-com:office:smarttags" w:element="chmetcnv">
        <w:smartTagPr>
          <w:attr w:name="UnitName" w:val="g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宋体" w:hAnsi="宋体" w:hint="eastAsia"/>
            <w:szCs w:val="21"/>
          </w:rPr>
          <w:t>500g</w:t>
        </w:r>
      </w:smartTag>
      <w:r>
        <w:rPr>
          <w:rFonts w:ascii="宋体" w:hAnsi="宋体" w:hint="eastAsia"/>
          <w:szCs w:val="21"/>
        </w:rPr>
        <w:t>/100ml）时，即为ZnO溶解度的一个溶解拐点，当添加量大于500ppm时，ZnO溶解度的增涨幅度就不大，可说明当pH=4.5时，ZnO在猪胃液中的最大溶解度范围在250-450ppm间。</w:t>
      </w:r>
    </w:p>
    <w:p w:rsidR="00E942F2" w:rsidRDefault="00E942F2">
      <w:pPr>
        <w:spacing w:line="360" w:lineRule="auto"/>
        <w:rPr>
          <w:rFonts w:ascii="黑体" w:eastAsia="黑体" w:hAnsi="宋体" w:hint="eastAsia"/>
          <w:sz w:val="24"/>
        </w:rPr>
      </w:pPr>
      <w:r>
        <w:rPr>
          <w:rFonts w:ascii="黑体" w:eastAsia="黑体" w:hAnsi="宋体" w:hint="eastAsia"/>
          <w:sz w:val="24"/>
        </w:rPr>
        <w:t>3、结论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3.1 在相同pH值下，随着氧化锌添加剂量的增加，氧化锌溶解量增加，而溶解率逐渐变小。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3.2 在相同添加剂量下，随着pH值的升高，氧化锌溶解量减少，溶解率也变小。</w:t>
      </w:r>
    </w:p>
    <w:p w:rsidR="00E942F2" w:rsidRDefault="00E942F2">
      <w:pPr>
        <w:spacing w:line="360" w:lineRule="auto"/>
        <w:rPr>
          <w:rFonts w:ascii="宋体" w:hAnsi="宋体" w:hint="eastAsia"/>
          <w:szCs w:val="21"/>
        </w:rPr>
        <w:sectPr w:rsidR="00E942F2" w:rsidSect="00636066">
          <w:headerReference w:type="default" r:id="rId10"/>
          <w:pgSz w:w="11906" w:h="16838"/>
          <w:pgMar w:top="1440" w:right="926" w:bottom="1440" w:left="1260" w:header="851" w:footer="992" w:gutter="0"/>
          <w:pgNumType w:start="1"/>
          <w:cols w:space="720"/>
          <w:docGrid w:type="lines" w:linePitch="312"/>
        </w:sectPr>
      </w:pPr>
      <w:r>
        <w:rPr>
          <w:rFonts w:ascii="宋体" w:hAnsi="宋体" w:hint="eastAsia"/>
          <w:szCs w:val="21"/>
        </w:rPr>
        <w:t>3.2 当猪胃液pH=2.5时，氧化锌的最大溶解度范围在1200-1400ppm；当猪胃液pH=3.5时，氧化锌的最大溶解度范围在700-900ppm，当猪胃液pH=4.5时，氧化锌的最大溶解度范围在250-450ppm。</w:t>
      </w:r>
    </w:p>
    <w:p w:rsidR="00E942F2" w:rsidRPr="00406BE3" w:rsidRDefault="00E942F2" w:rsidP="00406BE3">
      <w:pPr>
        <w:pStyle w:val="1"/>
        <w:rPr>
          <w:rFonts w:hint="eastAsia"/>
          <w:b w:val="0"/>
          <w:szCs w:val="18"/>
        </w:rPr>
      </w:pPr>
    </w:p>
    <w:sectPr w:rsidR="00E942F2" w:rsidRPr="00406BE3" w:rsidSect="00406BE3">
      <w:headerReference w:type="default" r:id="rId11"/>
      <w:pgSz w:w="11906" w:h="16838"/>
      <w:pgMar w:top="1440" w:right="1106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12A" w:rsidRDefault="000D112A">
      <w:r>
        <w:separator/>
      </w:r>
    </w:p>
  </w:endnote>
  <w:endnote w:type="continuationSeparator" w:id="1">
    <w:p w:rsidR="000D112A" w:rsidRDefault="000D1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12A" w:rsidRDefault="000D112A">
      <w:r>
        <w:separator/>
      </w:r>
    </w:p>
  </w:footnote>
  <w:footnote w:type="continuationSeparator" w:id="1">
    <w:p w:rsidR="000D112A" w:rsidRDefault="000D11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216" w:rsidRDefault="002D0216">
    <w:pPr>
      <w:pStyle w:val="a5"/>
      <w:rPr>
        <w:rFonts w:ascii="仿宋" w:eastAsia="仿宋" w:hAnsi="仿宋" w:hint="eastAsia"/>
        <w:sz w:val="21"/>
        <w:szCs w:val="21"/>
      </w:rPr>
    </w:pPr>
    <w:r>
      <w:rPr>
        <w:rFonts w:ascii="仿宋" w:eastAsia="仿宋" w:hAnsi="仿宋" w:hint="eastAsia"/>
        <w:sz w:val="21"/>
        <w:szCs w:val="21"/>
      </w:rPr>
      <w:t>在模拟不同pH猪胃液中ZnO的最大溶解度测定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216" w:rsidRDefault="002D0216">
    <w:pPr>
      <w:pStyle w:val="a5"/>
      <w:rPr>
        <w:rFonts w:ascii="仿宋" w:eastAsia="仿宋" w:hAnsi="仿宋" w:hint="eastAsia"/>
        <w:sz w:val="21"/>
        <w:szCs w:val="21"/>
      </w:rPr>
    </w:pPr>
    <w:r>
      <w:rPr>
        <w:rFonts w:ascii="仿宋" w:eastAsia="仿宋" w:hAnsi="仿宋" w:hint="eastAsia"/>
        <w:sz w:val="21"/>
        <w:szCs w:val="21"/>
      </w:rPr>
      <w:t>高锌日粮在仔猪腹泻上的应用研究进展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0000003"/>
    <w:multiLevelType w:val="multilevel"/>
    <w:tmpl w:val="00000003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4"/>
    <w:multiLevelType w:val="multilevel"/>
    <w:tmpl w:val="00000004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7B56C8"/>
    <w:multiLevelType w:val="hybridMultilevel"/>
    <w:tmpl w:val="78C460EC"/>
    <w:lvl w:ilvl="0" w:tplc="A822B0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6F2F6D"/>
    <w:multiLevelType w:val="hybridMultilevel"/>
    <w:tmpl w:val="B4D873D6"/>
    <w:lvl w:ilvl="0" w:tplc="4DDAFFA2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C370E8E"/>
    <w:multiLevelType w:val="hybridMultilevel"/>
    <w:tmpl w:val="B360DE80"/>
    <w:lvl w:ilvl="0" w:tplc="880A87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hideSpellingErrors/>
  <w:attachedTemplate r:id="rId1"/>
  <w:stylePaneFormatFilter w:val="3F01"/>
  <w:defaultTabStop w:val="420"/>
  <w:drawingGridHorizontalSpacing w:val="210"/>
  <w:drawingGridVerticalSpacing w:val="156"/>
  <w:displayVerticalDrawingGridEvery w:val="2"/>
  <w:characterSpacingControl w:val="compressPunctuation"/>
  <w:doNotValidateAgainstSchema/>
  <w:doNotDemarcateInvalidXml/>
  <w:hdrShapeDefaults>
    <o:shapedefaults v:ext="edit" spidmax="3074">
      <o:colormenu v:ext="edit" fillcolor="lim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4617"/>
    <w:rsid w:val="00080FF5"/>
    <w:rsid w:val="000D112A"/>
    <w:rsid w:val="000F0930"/>
    <w:rsid w:val="002220E3"/>
    <w:rsid w:val="002A66CC"/>
    <w:rsid w:val="002D0216"/>
    <w:rsid w:val="002E0D11"/>
    <w:rsid w:val="00307BC6"/>
    <w:rsid w:val="00312789"/>
    <w:rsid w:val="00326AA3"/>
    <w:rsid w:val="003F13D3"/>
    <w:rsid w:val="003F7867"/>
    <w:rsid w:val="00406BE3"/>
    <w:rsid w:val="00481630"/>
    <w:rsid w:val="00491E2A"/>
    <w:rsid w:val="00497BDE"/>
    <w:rsid w:val="004C386B"/>
    <w:rsid w:val="005A0AA6"/>
    <w:rsid w:val="00636066"/>
    <w:rsid w:val="006532BE"/>
    <w:rsid w:val="00691205"/>
    <w:rsid w:val="006C3609"/>
    <w:rsid w:val="007A6A27"/>
    <w:rsid w:val="007B311A"/>
    <w:rsid w:val="0099621B"/>
    <w:rsid w:val="00AC2F47"/>
    <w:rsid w:val="00B524EF"/>
    <w:rsid w:val="00BF7F1A"/>
    <w:rsid w:val="00C277B6"/>
    <w:rsid w:val="00CE7F27"/>
    <w:rsid w:val="00E24092"/>
    <w:rsid w:val="00E766CA"/>
    <w:rsid w:val="00E942F2"/>
    <w:rsid w:val="00E97115"/>
    <w:rsid w:val="00FA6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074">
      <o:colormenu v:ext="edit" fillcolor="lim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97B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character" w:styleId="a4">
    <w:name w:val="Emphasis"/>
    <w:basedOn w:val="a0"/>
    <w:qFormat/>
    <w:rPr>
      <w:i w:val="0"/>
      <w:iCs w:val="0"/>
      <w:color w:val="CC0000"/>
    </w:rPr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E942F2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E942F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List Paragraph"/>
    <w:basedOn w:val="a"/>
    <w:qFormat/>
    <w:rsid w:val="00E942F2"/>
    <w:pPr>
      <w:ind w:firstLineChars="200" w:firstLine="420"/>
    </w:pPr>
    <w:rPr>
      <w:rFonts w:ascii="Calibri" w:hAnsi="Calibri"/>
      <w:szCs w:val="22"/>
    </w:rPr>
  </w:style>
  <w:style w:type="paragraph" w:styleId="a8">
    <w:name w:val="annotation text"/>
    <w:basedOn w:val="a"/>
    <w:link w:val="Char1"/>
    <w:semiHidden/>
    <w:rsid w:val="00E942F2"/>
    <w:pPr>
      <w:jc w:val="left"/>
    </w:pPr>
    <w:rPr>
      <w:lang/>
    </w:rPr>
  </w:style>
  <w:style w:type="character" w:customStyle="1" w:styleId="Char1">
    <w:name w:val="批注文字 Char"/>
    <w:link w:val="a8"/>
    <w:semiHidden/>
    <w:rsid w:val="00E942F2"/>
    <w:rPr>
      <w:rFonts w:eastAsia="宋体"/>
      <w:kern w:val="2"/>
      <w:sz w:val="21"/>
      <w:szCs w:val="24"/>
      <w:lang w:bidi="ar-SA"/>
    </w:rPr>
  </w:style>
  <w:style w:type="paragraph" w:styleId="a9">
    <w:name w:val="annotation subject"/>
    <w:basedOn w:val="a8"/>
    <w:next w:val="a8"/>
    <w:link w:val="Char2"/>
    <w:semiHidden/>
    <w:unhideWhenUsed/>
    <w:rsid w:val="00E942F2"/>
    <w:rPr>
      <w:b/>
      <w:bCs/>
    </w:rPr>
  </w:style>
  <w:style w:type="character" w:customStyle="1" w:styleId="Char2">
    <w:name w:val="批注主题 Char"/>
    <w:link w:val="a9"/>
    <w:semiHidden/>
    <w:rsid w:val="00E942F2"/>
    <w:rPr>
      <w:rFonts w:eastAsia="宋体"/>
      <w:b/>
      <w:bCs/>
      <w:kern w:val="2"/>
      <w:sz w:val="21"/>
      <w:szCs w:val="24"/>
      <w:lang w:bidi="ar-SA"/>
    </w:rPr>
  </w:style>
  <w:style w:type="paragraph" w:styleId="aa">
    <w:name w:val="Balloon Text"/>
    <w:basedOn w:val="a"/>
    <w:link w:val="Char3"/>
    <w:semiHidden/>
    <w:unhideWhenUsed/>
    <w:rsid w:val="00E942F2"/>
    <w:rPr>
      <w:sz w:val="18"/>
      <w:szCs w:val="18"/>
      <w:lang/>
    </w:rPr>
  </w:style>
  <w:style w:type="character" w:customStyle="1" w:styleId="Char3">
    <w:name w:val="批注框文本 Char"/>
    <w:link w:val="aa"/>
    <w:semiHidden/>
    <w:rsid w:val="00E942F2"/>
    <w:rPr>
      <w:rFonts w:eastAsia="宋体"/>
      <w:kern w:val="2"/>
      <w:sz w:val="18"/>
      <w:szCs w:val="18"/>
      <w:lang w:bidi="ar-SA"/>
    </w:rPr>
  </w:style>
  <w:style w:type="paragraph" w:customStyle="1" w:styleId="CharCharCharChar">
    <w:name w:val=" Char Char Char Char"/>
    <w:basedOn w:val="a"/>
    <w:autoRedefine/>
    <w:rsid w:val="00E942F2"/>
    <w:pPr>
      <w:tabs>
        <w:tab w:val="num" w:pos="360"/>
      </w:tabs>
    </w:pPr>
    <w:rPr>
      <w:sz w:val="24"/>
    </w:rPr>
  </w:style>
  <w:style w:type="table" w:styleId="10">
    <w:name w:val="Table Simple 1"/>
    <w:basedOn w:val="a1"/>
    <w:rsid w:val="00E766CA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11">
    <w:name w:val="toc 1"/>
    <w:basedOn w:val="a"/>
    <w:next w:val="a"/>
    <w:autoRedefine/>
    <w:semiHidden/>
    <w:rsid w:val="00636066"/>
  </w:style>
  <w:style w:type="paragraph" w:styleId="2">
    <w:name w:val="toc 2"/>
    <w:basedOn w:val="a"/>
    <w:next w:val="a"/>
    <w:autoRedefine/>
    <w:semiHidden/>
    <w:rsid w:val="00636066"/>
    <w:pPr>
      <w:ind w:leftChars="200" w:left="420"/>
    </w:pPr>
  </w:style>
  <w:style w:type="character" w:styleId="ab">
    <w:name w:val="Hyperlink"/>
    <w:basedOn w:val="a0"/>
    <w:rsid w:val="00636066"/>
    <w:rPr>
      <w:color w:val="0000FF"/>
      <w:u w:val="single"/>
    </w:rPr>
  </w:style>
  <w:style w:type="table" w:styleId="ac">
    <w:name w:val="Table Grid"/>
    <w:basedOn w:val="a1"/>
    <w:rsid w:val="00C277B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494</Words>
  <Characters>2817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Microsoft</Company>
  <LinksUpToDate>false</LinksUpToDate>
  <CharactersWithSpaces>3305</CharactersWithSpaces>
  <SharedDoc>false</SharedDoc>
  <HLinks>
    <vt:vector size="30" baseType="variant">
      <vt:variant>
        <vt:i4>1376306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_Toc329617917</vt:lpwstr>
      </vt:variant>
      <vt:variant>
        <vt:i4>1376306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_Toc329617916</vt:lpwstr>
      </vt:variant>
      <vt:variant>
        <vt:i4>1376306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_Toc329617915</vt:lpwstr>
      </vt:variant>
      <vt:variant>
        <vt:i4>1376306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_Toc329617914</vt:lpwstr>
      </vt:variant>
      <vt:variant>
        <vt:i4>1376306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_Toc329617913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在不同pH值猪胃液中ZnO的最大溶解度研究</dc:title>
  <dc:creator>dell7</dc:creator>
  <cp:lastModifiedBy>Sky123.Org</cp:lastModifiedBy>
  <cp:revision>3</cp:revision>
  <cp:lastPrinted>1899-12-30T00:00:00Z</cp:lastPrinted>
  <dcterms:created xsi:type="dcterms:W3CDTF">2017-03-14T01:16:00Z</dcterms:created>
  <dcterms:modified xsi:type="dcterms:W3CDTF">2017-03-14T01:25:00Z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